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14" w:rsidRPr="00875714" w:rsidRDefault="00875714" w:rsidP="00875714">
      <w:pPr>
        <w:pStyle w:val="3"/>
        <w:spacing w:before="100" w:beforeAutospacing="1" w:after="100" w:afterAutospacing="1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13145423"/>
      <w:r w:rsidRPr="00875714">
        <w:rPr>
          <w:rFonts w:ascii="新細明體" w:hAnsi="新細明體" w:hint="eastAsia"/>
          <w:sz w:val="24"/>
          <w:szCs w:val="24"/>
        </w:rPr>
        <w:t>附件1，AF01-009/02.0簡易審查範</w:t>
      </w:r>
      <w:r w:rsidRPr="00875714">
        <w:rPr>
          <w:rFonts w:ascii="Times New Roman" w:hAnsi="Times New Roman" w:hint="eastAsia"/>
          <w:sz w:val="24"/>
          <w:szCs w:val="24"/>
        </w:rPr>
        <w:t>圍查檢表</w:t>
      </w:r>
      <w:bookmarkEnd w:id="0"/>
    </w:p>
    <w:p w:rsidR="00875714" w:rsidRDefault="00875714" w:rsidP="00875714">
      <w:pPr>
        <w:spacing w:before="100" w:beforeAutospacing="1" w:after="100" w:afterAutospacing="1" w:line="276" w:lineRule="auto"/>
        <w:contextualSpacing/>
        <w:jc w:val="center"/>
        <w:rPr>
          <w:u w:val="single"/>
        </w:rPr>
      </w:pPr>
      <w:r>
        <w:rPr>
          <w:rFonts w:hint="eastAsia"/>
          <w:u w:val="single"/>
        </w:rPr>
        <w:t>簡易審查範圍查檢表</w:t>
      </w:r>
    </w:p>
    <w:p w:rsidR="00875714" w:rsidRDefault="00875714" w:rsidP="00FA51B3">
      <w:pPr>
        <w:spacing w:before="100" w:beforeAutospacing="1" w:after="100" w:afterAutospacing="1" w:line="276" w:lineRule="auto"/>
        <w:contextualSpacing/>
      </w:pPr>
      <w:r>
        <w:t xml:space="preserve">1. </w:t>
      </w:r>
      <w:r>
        <w:rPr>
          <w:rFonts w:hint="eastAsia"/>
        </w:rPr>
        <w:t>研究計畫之實施，對於研究對象所有可能引發之生理、心理、社會之危險或不</w:t>
      </w:r>
      <w:bookmarkStart w:id="1" w:name="_GoBack"/>
      <w:bookmarkEnd w:id="1"/>
      <w:r>
        <w:rPr>
          <w:rFonts w:hint="eastAsia"/>
        </w:rPr>
        <w:t>適之或然率，不高於日常生活之遭遇或例行性醫療處置之風險，並符合下列情形之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者，得申請簡易審查，但從事基因研究者除外。</w:t>
      </w:r>
    </w:p>
    <w:p w:rsidR="00875714" w:rsidRDefault="00875714" w:rsidP="00875714">
      <w:pPr>
        <w:spacing w:before="100" w:beforeAutospacing="1" w:after="100" w:afterAutospacing="1" w:line="276" w:lineRule="auto"/>
        <w:contextualSpacing/>
      </w:pPr>
      <w:r>
        <w:t xml:space="preserve">2. </w:t>
      </w:r>
      <w:r>
        <w:rPr>
          <w:rFonts w:hint="eastAsia"/>
        </w:rPr>
        <w:t>請自行勾選下列表格。但最後裁定權為</w:t>
      </w:r>
      <w:r>
        <w:t>IRB</w:t>
      </w:r>
      <w:r>
        <w:rPr>
          <w:rFonts w:hint="eastAsia"/>
        </w:rPr>
        <w:t>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25"/>
        <w:gridCol w:w="2285"/>
        <w:gridCol w:w="125"/>
        <w:gridCol w:w="992"/>
        <w:gridCol w:w="425"/>
        <w:gridCol w:w="2694"/>
      </w:tblGrid>
      <w:tr w:rsidR="00FA51B3" w:rsidTr="00074C5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  <w:r>
              <w:rPr>
                <w:rFonts w:eastAsia="細明體" w:cs="Arial" w:hint="eastAsia"/>
              </w:rPr>
              <w:t>計畫主持人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  <w:r>
              <w:rPr>
                <w:rFonts w:eastAsia="細明體" w:cs="Arial"/>
              </w:rPr>
              <w:t>IRB</w:t>
            </w:r>
            <w:r>
              <w:rPr>
                <w:rFonts w:eastAsia="細明體" w:cs="Arial" w:hint="eastAsia"/>
              </w:rPr>
              <w:t>編號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</w:p>
        </w:tc>
      </w:tr>
      <w:tr w:rsidR="00FA51B3" w:rsidTr="00074C5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  <w:r>
              <w:rPr>
                <w:rFonts w:eastAsia="細明體" w:cs="Arial" w:hint="eastAsia"/>
              </w:rPr>
              <w:t>計畫名稱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B3" w:rsidRDefault="00FA51B3" w:rsidP="00074C51">
            <w:pPr>
              <w:adjustRightInd w:val="0"/>
              <w:spacing w:line="276" w:lineRule="auto"/>
              <w:jc w:val="both"/>
              <w:rPr>
                <w:rFonts w:eastAsia="細明體" w:cs="Arial"/>
              </w:rPr>
            </w:pP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FA51B3">
            <w:pPr>
              <w:numPr>
                <w:ilvl w:val="0"/>
                <w:numId w:val="4"/>
              </w:numPr>
              <w:adjustRightInd w:val="0"/>
              <w:spacing w:line="276" w:lineRule="auto"/>
              <w:contextualSpacing/>
              <w:jc w:val="both"/>
              <w:rPr>
                <w:rFonts w:eastAsia="細明體" w:cs="Arial"/>
                <w:bCs/>
              </w:rPr>
            </w:pPr>
            <w:r>
              <w:rPr>
                <w:rFonts w:eastAsia="細明體" w:cs="Arial" w:hint="eastAsia"/>
              </w:rPr>
              <w:t>□</w:t>
            </w:r>
            <w:r>
              <w:rPr>
                <w:rFonts w:eastAsia="細明體" w:cs="Arial" w:hint="eastAsia"/>
                <w:bCs/>
              </w:rPr>
              <w:t>自</w:t>
            </w:r>
            <w:r>
              <w:rPr>
                <w:rFonts w:eastAsia="細明體" w:cs="Arial" w:hint="eastAsia"/>
              </w:rPr>
              <w:t>體重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公斤"/>
              </w:smartTagPr>
              <w:r>
                <w:rPr>
                  <w:rFonts w:eastAsia="細明體"/>
                </w:rPr>
                <w:t>50</w:t>
              </w:r>
              <w:r>
                <w:rPr>
                  <w:rFonts w:eastAsia="細明體" w:cs="Arial" w:hint="eastAsia"/>
                </w:rPr>
                <w:t>公斤</w:t>
              </w:r>
            </w:smartTag>
            <w:r>
              <w:rPr>
                <w:rFonts w:eastAsia="細明體" w:cs="Arial" w:hint="eastAsia"/>
              </w:rPr>
              <w:t>以上之健康、非懷孕成年人，採集</w:t>
            </w:r>
            <w:r>
              <w:rPr>
                <w:rFonts w:eastAsia="細明體" w:cs="Arial" w:hint="eastAsia"/>
                <w:bCs/>
              </w:rPr>
              <w:t>手指、</w:t>
            </w:r>
            <w:proofErr w:type="gramStart"/>
            <w:r>
              <w:rPr>
                <w:rFonts w:eastAsia="細明體" w:cs="Arial" w:hint="eastAsia"/>
                <w:bCs/>
              </w:rPr>
              <w:t>足跟</w:t>
            </w:r>
            <w:proofErr w:type="gramEnd"/>
            <w:r>
              <w:rPr>
                <w:rFonts w:eastAsia="細明體" w:cs="Arial" w:hint="eastAsia"/>
                <w:bCs/>
              </w:rPr>
              <w:t>、耳朵或</w:t>
            </w:r>
          </w:p>
          <w:p w:rsidR="00FA51B3" w:rsidRDefault="00FA51B3" w:rsidP="00074C51">
            <w:pPr>
              <w:adjustRightInd w:val="0"/>
              <w:spacing w:line="276" w:lineRule="auto"/>
              <w:ind w:left="372"/>
              <w:contextualSpacing/>
              <w:jc w:val="both"/>
              <w:rPr>
                <w:rFonts w:eastAsia="細明體" w:cs="新細明體"/>
              </w:rPr>
            </w:pPr>
            <w:r>
              <w:rPr>
                <w:rFonts w:eastAsia="細明體" w:cs="Arial"/>
                <w:bCs/>
              </w:rPr>
              <w:t xml:space="preserve">   </w:t>
            </w:r>
            <w:r>
              <w:rPr>
                <w:rFonts w:eastAsia="細明體" w:cs="Arial" w:hint="eastAsia"/>
                <w:bCs/>
              </w:rPr>
              <w:t>靜脈</w:t>
            </w:r>
            <w:proofErr w:type="gramStart"/>
            <w:r>
              <w:rPr>
                <w:rFonts w:eastAsia="細明體" w:cs="Arial" w:hint="eastAsia"/>
                <w:bCs/>
              </w:rPr>
              <w:t>採</w:t>
            </w:r>
            <w:proofErr w:type="gramEnd"/>
            <w:r>
              <w:rPr>
                <w:rFonts w:eastAsia="細明體" w:cs="Arial" w:hint="eastAsia"/>
                <w:bCs/>
              </w:rPr>
              <w:t>血，且</w:t>
            </w:r>
            <w:proofErr w:type="gramStart"/>
            <w:r>
              <w:rPr>
                <w:rFonts w:eastAsia="細明體" w:cs="新細明體" w:hint="eastAsia"/>
              </w:rPr>
              <w:t>採</w:t>
            </w:r>
            <w:proofErr w:type="gramEnd"/>
            <w:r>
              <w:rPr>
                <w:rFonts w:eastAsia="細明體" w:cs="新細明體" w:hint="eastAsia"/>
              </w:rPr>
              <w:t>血總量八</w:t>
            </w:r>
            <w:proofErr w:type="gramStart"/>
            <w:r>
              <w:rPr>
                <w:rFonts w:eastAsia="細明體" w:cs="新細明體" w:hint="eastAsia"/>
              </w:rPr>
              <w:t>週</w:t>
            </w:r>
            <w:proofErr w:type="gramEnd"/>
            <w:r>
              <w:rPr>
                <w:rFonts w:eastAsia="細明體" w:cs="新細明體" w:hint="eastAsia"/>
              </w:rPr>
              <w:t>內不超過</w:t>
            </w:r>
            <w:r>
              <w:rPr>
                <w:rFonts w:eastAsia="細明體"/>
              </w:rPr>
              <w:t>320</w:t>
            </w:r>
            <w:r>
              <w:rPr>
                <w:rFonts w:eastAsia="細明體" w:cs="Arial" w:hint="eastAsia"/>
              </w:rPr>
              <w:t>毫升，</w:t>
            </w:r>
            <w:r>
              <w:rPr>
                <w:rFonts w:eastAsia="細明體" w:cs="新細明體" w:hint="eastAsia"/>
              </w:rPr>
              <w:t>每週</w:t>
            </w:r>
            <w:proofErr w:type="gramStart"/>
            <w:r>
              <w:rPr>
                <w:rFonts w:eastAsia="細明體" w:cs="新細明體" w:hint="eastAsia"/>
              </w:rPr>
              <w:t>採血不</w:t>
            </w:r>
            <w:proofErr w:type="gramEnd"/>
            <w:r>
              <w:rPr>
                <w:rFonts w:eastAsia="細明體" w:cs="新細明體" w:hint="eastAsia"/>
              </w:rPr>
              <w:t>超過二次，</w:t>
            </w:r>
            <w:r>
              <w:rPr>
                <w:rFonts w:eastAsia="細明體" w:cs="新細明體"/>
              </w:rPr>
              <w:t xml:space="preserve"> </w:t>
            </w:r>
          </w:p>
          <w:p w:rsidR="00FA51B3" w:rsidRDefault="00FA51B3" w:rsidP="00074C51">
            <w:pPr>
              <w:adjustRightInd w:val="0"/>
              <w:spacing w:line="276" w:lineRule="auto"/>
              <w:ind w:left="372"/>
              <w:contextualSpacing/>
              <w:jc w:val="both"/>
              <w:rPr>
                <w:rFonts w:eastAsia="細明體" w:cs="Arial"/>
              </w:rPr>
            </w:pPr>
            <w:r>
              <w:rPr>
                <w:rFonts w:eastAsia="細明體" w:cs="新細明體"/>
              </w:rPr>
              <w:t xml:space="preserve">   </w:t>
            </w:r>
            <w:r>
              <w:rPr>
                <w:rFonts w:eastAsia="細明體" w:cs="Arial" w:hint="eastAsia"/>
              </w:rPr>
              <w:t>且每次</w:t>
            </w:r>
            <w:proofErr w:type="gramStart"/>
            <w:r>
              <w:rPr>
                <w:rFonts w:eastAsia="細明體" w:cs="Arial" w:hint="eastAsia"/>
              </w:rPr>
              <w:t>採</w:t>
            </w:r>
            <w:proofErr w:type="gramEnd"/>
            <w:r>
              <w:rPr>
                <w:rFonts w:eastAsia="細明體" w:cs="Arial" w:hint="eastAsia"/>
              </w:rPr>
              <w:t>血不得超過</w:t>
            </w:r>
            <w:r>
              <w:rPr>
                <w:rFonts w:eastAsia="細明體"/>
              </w:rPr>
              <w:t>20</w:t>
            </w:r>
            <w:r>
              <w:rPr>
                <w:rFonts w:eastAsia="細明體" w:cs="Arial" w:hint="eastAsia"/>
              </w:rPr>
              <w:t>毫升。</w:t>
            </w:r>
          </w:p>
          <w:p w:rsidR="00FA51B3" w:rsidRDefault="00FA51B3" w:rsidP="00074C51">
            <w:pPr>
              <w:adjustRightInd w:val="0"/>
              <w:spacing w:line="276" w:lineRule="auto"/>
              <w:ind w:left="372"/>
              <w:contextualSpacing/>
              <w:jc w:val="both"/>
              <w:rPr>
                <w:sz w:val="20"/>
              </w:rPr>
            </w:pPr>
            <w:r>
              <w:rPr>
                <w:rFonts w:eastAsia="細明體" w:cs="Arial" w:hint="eastAsia"/>
                <w:sz w:val="18"/>
              </w:rPr>
              <w:t>備註：若為基因遺傳之相關研究，不得申請簡易審查。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</w:pPr>
            <w:r>
              <w:rPr>
                <w:rFonts w:hint="eastAsia"/>
              </w:rPr>
              <w:t>二、以下非侵入性方法採集研究用人體檢體：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□以不損傷外形的方式收集頭髮或指甲或體表自然脫落之皮屑。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□收集因例行照護需要而拔除知恆齒。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□收集排泄物和體外分泌物，如汗液等。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□非以套管取得唾液，但使用非刺激方式、咀嚼口香糖、</w:t>
            </w:r>
            <w:proofErr w:type="gramStart"/>
            <w:r>
              <w:rPr>
                <w:rFonts w:hint="eastAsia"/>
              </w:rPr>
              <w:t>蠟或施用</w:t>
            </w:r>
            <w:proofErr w:type="gramEnd"/>
            <w:r>
              <w:rPr>
                <w:rFonts w:hint="eastAsia"/>
              </w:rPr>
              <w:t>檸檬</w:t>
            </w:r>
          </w:p>
          <w:p w:rsidR="00FA51B3" w:rsidRDefault="00FA51B3" w:rsidP="00074C51">
            <w:pPr>
              <w:spacing w:line="276" w:lineRule="auto"/>
              <w:ind w:left="952"/>
              <w:contextualSpacing/>
            </w:pPr>
            <w:r>
              <w:rPr>
                <w:rFonts w:hint="eastAsia"/>
              </w:rPr>
              <w:t>酸刺激舌頭取得唾液。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  <w:jc w:val="distribute"/>
            </w:pPr>
            <w:r>
              <w:rPr>
                <w:rFonts w:hint="eastAsia"/>
              </w:rPr>
              <w:t>□以一般洗牙程序或低於其侵犯性範圍之程序</w:t>
            </w:r>
            <w:proofErr w:type="gramStart"/>
            <w:r>
              <w:rPr>
                <w:rFonts w:hint="eastAsia"/>
              </w:rPr>
              <w:t>採</w:t>
            </w:r>
            <w:proofErr w:type="gramEnd"/>
            <w:r>
              <w:rPr>
                <w:rFonts w:hint="eastAsia"/>
              </w:rPr>
              <w:t>及牙齦上或牙齦內之</w:t>
            </w:r>
          </w:p>
          <w:p w:rsidR="00FA51B3" w:rsidRDefault="00FA51B3" w:rsidP="00074C51">
            <w:pPr>
              <w:spacing w:line="276" w:lineRule="auto"/>
              <w:ind w:leftChars="396" w:left="950"/>
              <w:contextualSpacing/>
            </w:pPr>
            <w:r>
              <w:rPr>
                <w:rFonts w:hint="eastAsia"/>
              </w:rPr>
              <w:t>牙</w:t>
            </w:r>
            <w:proofErr w:type="gramStart"/>
            <w:r>
              <w:rPr>
                <w:rFonts w:hint="eastAsia"/>
              </w:rPr>
              <w:t>菌斑及牙</w:t>
            </w:r>
            <w:proofErr w:type="gramEnd"/>
            <w:r>
              <w:rPr>
                <w:rFonts w:hint="eastAsia"/>
              </w:rPr>
              <w:t>結石。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以刮取</w:t>
            </w:r>
            <w:proofErr w:type="gramEnd"/>
            <w:r>
              <w:rPr>
                <w:rFonts w:hint="eastAsia"/>
              </w:rPr>
              <w:t>或漱口方式，自口腔或皮膚採集黏膜或皮膚細胞。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□以蒸氣吸入後收集之痰液。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□其他非以穿刺、皮膚切開或使用器械置入人體方式採集檢體。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</w:pPr>
            <w:r>
              <w:rPr>
                <w:rFonts w:hint="eastAsia"/>
              </w:rPr>
              <w:t>三、使用非侵入性方法收集資料。使用之醫療器材，須經中央衛生主管機關核准上市。且不包括使用游離</w:t>
            </w:r>
            <w:proofErr w:type="gramStart"/>
            <w:r>
              <w:rPr>
                <w:rFonts w:hint="eastAsia"/>
              </w:rPr>
              <w:t>輻</w:t>
            </w:r>
            <w:proofErr w:type="gramEnd"/>
            <w:r>
              <w:rPr>
                <w:rFonts w:hint="eastAsia"/>
              </w:rPr>
              <w:t>線、微波、全身麻醉或鎮靜劑等方式。</w:t>
            </w:r>
          </w:p>
          <w:p w:rsidR="00FA51B3" w:rsidRDefault="00FA51B3" w:rsidP="00074C51">
            <w:p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□使用於受試者體表或一段距離之感應器，不涉及相當能量的輸入或侵犯受試者隱私。</w:t>
            </w:r>
          </w:p>
          <w:p w:rsidR="00FA51B3" w:rsidRDefault="00FA51B3" w:rsidP="00074C51">
            <w:pPr>
              <w:numPr>
                <w:ilvl w:val="1"/>
                <w:numId w:val="2"/>
              </w:num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測量體重或感覺測試。</w:t>
            </w:r>
          </w:p>
          <w:p w:rsidR="00FA51B3" w:rsidRDefault="00FA51B3" w:rsidP="00074C51">
            <w:pPr>
              <w:numPr>
                <w:ilvl w:val="1"/>
                <w:numId w:val="2"/>
              </w:num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核磁共振造影。</w:t>
            </w:r>
          </w:p>
          <w:p w:rsidR="00FA51B3" w:rsidRDefault="00FA51B3" w:rsidP="00074C51">
            <w:pPr>
              <w:numPr>
                <w:ilvl w:val="1"/>
                <w:numId w:val="2"/>
              </w:num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心電圖、腦波圖、體溫、自然背景輻射偵測、視網膜電圖、超音波、診斷性紅外線造影、</w:t>
            </w:r>
            <w:proofErr w:type="gramStart"/>
            <w:r>
              <w:rPr>
                <w:rFonts w:hint="eastAsia"/>
              </w:rPr>
              <w:t>杜卜勒血</w:t>
            </w:r>
            <w:proofErr w:type="gramEnd"/>
            <w:r>
              <w:rPr>
                <w:rFonts w:hint="eastAsia"/>
              </w:rPr>
              <w:t>流檢查及心臟超音波。</w:t>
            </w:r>
          </w:p>
          <w:p w:rsidR="00FA51B3" w:rsidRDefault="00FA51B3" w:rsidP="00074C51">
            <w:pPr>
              <w:numPr>
                <w:ilvl w:val="1"/>
                <w:numId w:val="2"/>
              </w:num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依受試者年齡、體重和健康情形之適度運動、肌力測試、身體組織成</w:t>
            </w:r>
            <w:r>
              <w:rPr>
                <w:rFonts w:hint="eastAsia"/>
              </w:rPr>
              <w:lastRenderedPageBreak/>
              <w:t>分評估與柔軟測試。</w:t>
            </w:r>
          </w:p>
          <w:p w:rsidR="00FA51B3" w:rsidRDefault="00FA51B3" w:rsidP="00074C51">
            <w:pPr>
              <w:numPr>
                <w:ilvl w:val="1"/>
                <w:numId w:val="2"/>
              </w:numPr>
              <w:spacing w:line="276" w:lineRule="auto"/>
              <w:ind w:leftChars="295" w:left="991" w:hangingChars="118" w:hanging="283"/>
              <w:contextualSpacing/>
            </w:pPr>
            <w:r>
              <w:rPr>
                <w:rFonts w:hint="eastAsia"/>
              </w:rPr>
              <w:t>其他符合本款規定之非侵入性方法。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  <w:ind w:left="480" w:hangingChars="200" w:hanging="480"/>
              <w:contextualSpacing/>
            </w:pPr>
            <w:r>
              <w:rPr>
                <w:rFonts w:hint="eastAsia"/>
              </w:rPr>
              <w:lastRenderedPageBreak/>
              <w:t>四、□使用臨床常規治療或診斷之病歷、含個案報告之研究。但不含人類後天</w:t>
            </w:r>
          </w:p>
          <w:p w:rsidR="00FA51B3" w:rsidRDefault="00FA51B3" w:rsidP="00074C51">
            <w:pPr>
              <w:spacing w:line="276" w:lineRule="auto"/>
              <w:ind w:leftChars="297" w:left="713"/>
              <w:contextualSpacing/>
            </w:pPr>
            <w:r>
              <w:rPr>
                <w:rFonts w:hint="eastAsia"/>
              </w:rPr>
              <w:t>性免疫不全病毒</w:t>
            </w:r>
            <w:r>
              <w:t>(HIV)</w:t>
            </w:r>
            <w:r>
              <w:rPr>
                <w:rFonts w:hint="eastAsia"/>
              </w:rPr>
              <w:t>陽性患者之病歷。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  <w:ind w:left="480" w:hangingChars="200" w:hanging="480"/>
              <w:contextualSpacing/>
            </w:pPr>
            <w:r>
              <w:rPr>
                <w:rFonts w:hint="eastAsia"/>
              </w:rPr>
              <w:t>五、□以研究為目的的蒐集之錄音、錄影或影像資料。但不含可辨識及可能影</w:t>
            </w:r>
          </w:p>
          <w:p w:rsidR="00FA51B3" w:rsidRDefault="00FA51B3" w:rsidP="00074C51">
            <w:pPr>
              <w:spacing w:line="276" w:lineRule="auto"/>
              <w:ind w:leftChars="309" w:left="742"/>
              <w:contextualSpacing/>
            </w:pPr>
            <w:proofErr w:type="gramStart"/>
            <w:r>
              <w:rPr>
                <w:rFonts w:hint="eastAsia"/>
              </w:rPr>
              <w:t>響受試</w:t>
            </w:r>
            <w:proofErr w:type="gramEnd"/>
            <w:r>
              <w:rPr>
                <w:rFonts w:hint="eastAsia"/>
              </w:rPr>
              <w:t>者工作、保險、財務及名譽之資料。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  <w:ind w:left="480" w:hangingChars="200" w:hanging="480"/>
              <w:contextualSpacing/>
            </w:pPr>
            <w:r>
              <w:rPr>
                <w:rFonts w:hint="eastAsia"/>
              </w:rPr>
              <w:t>六、□研究個人或群體特質或行為，但不含造成個人或族群歧視之潛在可能者。</w:t>
            </w:r>
          </w:p>
          <w:p w:rsidR="00FA51B3" w:rsidRDefault="00FA51B3" w:rsidP="00074C51">
            <w:pPr>
              <w:spacing w:line="276" w:lineRule="auto"/>
              <w:ind w:left="400" w:hanging="400"/>
              <w:contextualSpacing/>
              <w:jc w:val="both"/>
            </w:pPr>
            <w:r>
              <w:rPr>
                <w:rFonts w:hint="eastAsia"/>
                <w:sz w:val="20"/>
              </w:rPr>
              <w:t>備註：如感覺、認知、動機、認同、語言、溝通、文化信仰或習慣和社會行為，或涉及調查、訪談、口述歷史、特定族群、計畫評估、人為因素或品質保證方法等。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</w:pPr>
            <w:r>
              <w:rPr>
                <w:rFonts w:hint="eastAsia"/>
              </w:rPr>
              <w:t>七、追蹤審查已通過的計畫：</w:t>
            </w:r>
          </w:p>
          <w:p w:rsidR="00FA51B3" w:rsidRDefault="00FA51B3" w:rsidP="00074C51">
            <w:pPr>
              <w:spacing w:line="276" w:lineRule="auto"/>
              <w:ind w:firstLineChars="354" w:firstLine="850"/>
            </w:pPr>
            <w:r>
              <w:rPr>
                <w:rFonts w:hint="eastAsia"/>
              </w:rPr>
              <w:t>□不再收錄新受試者</w:t>
            </w:r>
          </w:p>
          <w:p w:rsidR="00FA51B3" w:rsidRDefault="00FA51B3" w:rsidP="00074C51">
            <w:pPr>
              <w:spacing w:line="276" w:lineRule="auto"/>
              <w:ind w:firstLineChars="354" w:firstLine="850"/>
            </w:pPr>
            <w:r>
              <w:rPr>
                <w:rFonts w:hint="eastAsia"/>
              </w:rPr>
              <w:t>□所有受試</w:t>
            </w:r>
            <w:proofErr w:type="gramStart"/>
            <w:r>
              <w:rPr>
                <w:rFonts w:hint="eastAsia"/>
              </w:rPr>
              <w:t>者均已完成</w:t>
            </w:r>
            <w:proofErr w:type="gramEnd"/>
            <w:r>
              <w:rPr>
                <w:rFonts w:hint="eastAsia"/>
              </w:rPr>
              <w:t>所有相關的研究試驗</w:t>
            </w:r>
          </w:p>
          <w:p w:rsidR="00FA51B3" w:rsidRDefault="00FA51B3" w:rsidP="00074C51">
            <w:pPr>
              <w:spacing w:line="276" w:lineRule="auto"/>
              <w:ind w:firstLineChars="354" w:firstLine="850"/>
            </w:pPr>
            <w:r>
              <w:rPr>
                <w:rFonts w:hint="eastAsia"/>
              </w:rPr>
              <w:t>□受試者仍須長期追蹤</w:t>
            </w:r>
          </w:p>
          <w:p w:rsidR="00FA51B3" w:rsidRDefault="00FA51B3" w:rsidP="00074C51">
            <w:pPr>
              <w:spacing w:line="276" w:lineRule="auto"/>
              <w:ind w:firstLineChars="354" w:firstLine="850"/>
            </w:pPr>
            <w:r>
              <w:rPr>
                <w:rFonts w:hint="eastAsia"/>
              </w:rPr>
              <w:t>□沒有</w:t>
            </w:r>
            <w:r>
              <w:rPr>
                <w:rFonts w:hint="eastAsia"/>
                <w:u w:val="single"/>
              </w:rPr>
              <w:t>增加</w:t>
            </w:r>
            <w:r>
              <w:rPr>
                <w:rFonts w:hint="eastAsia"/>
              </w:rPr>
              <w:t>新受試者，且沒有新的危險性。</w:t>
            </w:r>
          </w:p>
          <w:p w:rsidR="00FA51B3" w:rsidRDefault="00FA51B3" w:rsidP="00074C51">
            <w:pPr>
              <w:spacing w:line="276" w:lineRule="auto"/>
              <w:ind w:firstLineChars="354" w:firstLine="850"/>
            </w:pPr>
            <w:r>
              <w:rPr>
                <w:rFonts w:hint="eastAsia"/>
              </w:rPr>
              <w:t>□剩餘的研究僅限於資料分析。</w:t>
            </w:r>
          </w:p>
        </w:tc>
      </w:tr>
      <w:tr w:rsidR="00FA51B3" w:rsidTr="00074C51"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1B3" w:rsidRDefault="00FA51B3" w:rsidP="00074C51">
            <w:pPr>
              <w:spacing w:line="276" w:lineRule="auto"/>
              <w:ind w:left="480" w:hangingChars="200" w:hanging="480"/>
              <w:contextualSpacing/>
            </w:pPr>
            <w:r>
              <w:rPr>
                <w:rFonts w:hint="eastAsia"/>
              </w:rPr>
              <w:t>八、□自合法資料庫取得之去連結或無法辨識特定個人資料、檔案、文件、資</w:t>
            </w:r>
          </w:p>
          <w:p w:rsidR="00FA51B3" w:rsidRDefault="00FA51B3" w:rsidP="00074C51">
            <w:pPr>
              <w:spacing w:line="276" w:lineRule="auto"/>
              <w:ind w:leftChars="295" w:left="708"/>
              <w:contextualSpacing/>
            </w:pPr>
            <w:r>
              <w:rPr>
                <w:rFonts w:hint="eastAsia"/>
              </w:rPr>
              <w:t>訊或檢體進行研究。但不包括涉及族群或群體利益者。</w:t>
            </w:r>
          </w:p>
        </w:tc>
      </w:tr>
      <w:tr w:rsidR="00FA51B3" w:rsidTr="00074C51">
        <w:trPr>
          <w:trHeight w:val="617"/>
        </w:trPr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1B3" w:rsidRDefault="00FA51B3" w:rsidP="00074C51">
            <w:pPr>
              <w:spacing w:line="276" w:lineRule="auto"/>
              <w:jc w:val="both"/>
            </w:pPr>
            <w:r>
              <w:rPr>
                <w:rFonts w:hint="eastAsia"/>
              </w:rPr>
              <w:t>九、□審查會承接其他合法審查會通過之研究計畫，得以簡易審查程序追認之。</w:t>
            </w:r>
          </w:p>
        </w:tc>
      </w:tr>
      <w:tr w:rsidR="00FA51B3" w:rsidTr="00074C51">
        <w:trPr>
          <w:trHeight w:val="617"/>
        </w:trPr>
        <w:tc>
          <w:tcPr>
            <w:tcW w:w="8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1B3" w:rsidRDefault="00FA51B3" w:rsidP="00074C51">
            <w:pPr>
              <w:spacing w:line="276" w:lineRule="auto"/>
              <w:jc w:val="both"/>
            </w:pPr>
            <w:r>
              <w:rPr>
                <w:rFonts w:hint="eastAsia"/>
              </w:rPr>
              <w:t>十、□其他：</w:t>
            </w:r>
          </w:p>
        </w:tc>
      </w:tr>
      <w:tr w:rsidR="00FA51B3" w:rsidTr="00074C51">
        <w:trPr>
          <w:trHeight w:val="105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1B3" w:rsidRDefault="00FA51B3" w:rsidP="00074C51">
            <w:pPr>
              <w:spacing w:line="276" w:lineRule="auto"/>
              <w:jc w:val="center"/>
            </w:pPr>
            <w:r>
              <w:rPr>
                <w:rFonts w:hint="eastAsia"/>
              </w:rPr>
              <w:t>計畫主持人簽名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1B3" w:rsidRDefault="00FA51B3" w:rsidP="00074C51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1B3" w:rsidRDefault="00FA51B3" w:rsidP="00074C51">
            <w:pPr>
              <w:spacing w:line="276" w:lineRule="auto"/>
              <w:jc w:val="center"/>
            </w:pPr>
            <w:r>
              <w:rPr>
                <w:rFonts w:hint="eastAsia"/>
              </w:rPr>
              <w:t>簽名日期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1B3" w:rsidRDefault="00FA51B3" w:rsidP="00074C51">
            <w:pPr>
              <w:spacing w:line="276" w:lineRule="auto"/>
              <w:jc w:val="center"/>
            </w:pPr>
            <w:r w:rsidRPr="00D57993">
              <w:rPr>
                <w:rFonts w:hint="eastAsia"/>
              </w:rPr>
              <w:t>年</w:t>
            </w:r>
            <w:r w:rsidRPr="00D57993"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D57993">
              <w:rPr>
                <w:rFonts w:hint="eastAsia"/>
              </w:rPr>
              <w:t>月</w:t>
            </w:r>
            <w:r w:rsidRPr="00D57993">
              <w:t xml:space="preserve">   </w:t>
            </w:r>
            <w:r w:rsidRPr="00D57993">
              <w:rPr>
                <w:rFonts w:hint="eastAsia"/>
              </w:rPr>
              <w:t>日</w:t>
            </w:r>
          </w:p>
        </w:tc>
      </w:tr>
    </w:tbl>
    <w:p w:rsidR="00E97B43" w:rsidRPr="00FA51B3" w:rsidRDefault="00E97B43" w:rsidP="00875714"/>
    <w:sectPr w:rsidR="00E97B43" w:rsidRPr="00FA51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43" w:rsidRDefault="00CF4643" w:rsidP="00E97B43">
      <w:r>
        <w:separator/>
      </w:r>
    </w:p>
  </w:endnote>
  <w:endnote w:type="continuationSeparator" w:id="0">
    <w:p w:rsidR="00CF4643" w:rsidRDefault="00CF4643" w:rsidP="00E9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43" w:rsidRDefault="00CF4643" w:rsidP="00E97B43">
      <w:r>
        <w:separator/>
      </w:r>
    </w:p>
  </w:footnote>
  <w:footnote w:type="continuationSeparator" w:id="0">
    <w:p w:rsidR="00CF4643" w:rsidRDefault="00CF4643" w:rsidP="00E97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47C5C"/>
    <w:multiLevelType w:val="hybridMultilevel"/>
    <w:tmpl w:val="6BDAE3B8"/>
    <w:lvl w:ilvl="0" w:tplc="B4AE2610">
      <w:start w:val="1"/>
      <w:numFmt w:val="taiwaneseCountingThousand"/>
      <w:lvlText w:val="%1、"/>
      <w:lvlJc w:val="left"/>
      <w:pPr>
        <w:tabs>
          <w:tab w:val="num" w:pos="372"/>
        </w:tabs>
        <w:ind w:left="372" w:hanging="480"/>
      </w:pPr>
      <w:rPr>
        <w:rFonts w:eastAsia="細明體"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1">
    <w:nsid w:val="6928796F"/>
    <w:multiLevelType w:val="hybridMultilevel"/>
    <w:tmpl w:val="C074C04E"/>
    <w:lvl w:ilvl="0" w:tplc="E662FA8E">
      <w:start w:val="1"/>
      <w:numFmt w:val="bullet"/>
      <w:lvlText w:val=""/>
      <w:lvlJc w:val="left"/>
      <w:pPr>
        <w:ind w:left="1425" w:hanging="480"/>
      </w:pPr>
      <w:rPr>
        <w:rFonts w:ascii="Wingdings" w:hAnsi="Wingdings" w:hint="default"/>
      </w:rPr>
    </w:lvl>
    <w:lvl w:ilvl="1" w:tplc="AA76FFE6">
      <w:numFmt w:val="bullet"/>
      <w:lvlText w:val="□"/>
      <w:lvlJc w:val="left"/>
      <w:pPr>
        <w:ind w:left="1785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5" w:hanging="480"/>
      </w:pPr>
      <w:rPr>
        <w:rFonts w:ascii="Wingdings" w:hAnsi="Wingdings" w:hint="default"/>
      </w:rPr>
    </w:lvl>
  </w:abstractNum>
  <w:abstractNum w:abstractNumId="2">
    <w:nsid w:val="76DC34A3"/>
    <w:multiLevelType w:val="hybridMultilevel"/>
    <w:tmpl w:val="7322543C"/>
    <w:lvl w:ilvl="0" w:tplc="2AE87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10"/>
    <w:rsid w:val="00197EC7"/>
    <w:rsid w:val="002730F6"/>
    <w:rsid w:val="0037024A"/>
    <w:rsid w:val="004F7E84"/>
    <w:rsid w:val="006425FA"/>
    <w:rsid w:val="006969DF"/>
    <w:rsid w:val="007E6710"/>
    <w:rsid w:val="00875714"/>
    <w:rsid w:val="00BB1B68"/>
    <w:rsid w:val="00BF158A"/>
    <w:rsid w:val="00C9713C"/>
    <w:rsid w:val="00CF4643"/>
    <w:rsid w:val="00E97B43"/>
    <w:rsid w:val="00F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14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714"/>
    <w:pPr>
      <w:keepNext/>
      <w:spacing w:line="720" w:lineRule="auto"/>
      <w:outlineLvl w:val="2"/>
    </w:pPr>
    <w:rPr>
      <w:rFonts w:ascii="Cambria" w:hAnsi="Cambria" w:cs="新細明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7B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7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7B43"/>
    <w:rPr>
      <w:sz w:val="20"/>
      <w:szCs w:val="20"/>
    </w:rPr>
  </w:style>
  <w:style w:type="paragraph" w:styleId="a7">
    <w:name w:val="List Paragraph"/>
    <w:basedOn w:val="a"/>
    <w:uiPriority w:val="34"/>
    <w:qFormat/>
    <w:rsid w:val="00E97B43"/>
    <w:pPr>
      <w:ind w:leftChars="200" w:left="480"/>
    </w:pPr>
  </w:style>
  <w:style w:type="character" w:customStyle="1" w:styleId="30">
    <w:name w:val="標題 3 字元"/>
    <w:basedOn w:val="a0"/>
    <w:link w:val="3"/>
    <w:uiPriority w:val="9"/>
    <w:semiHidden/>
    <w:rsid w:val="00875714"/>
    <w:rPr>
      <w:rFonts w:ascii="Cambria" w:eastAsia="新細明體" w:hAnsi="Cambria" w:cs="新細明體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14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714"/>
    <w:pPr>
      <w:keepNext/>
      <w:spacing w:line="720" w:lineRule="auto"/>
      <w:outlineLvl w:val="2"/>
    </w:pPr>
    <w:rPr>
      <w:rFonts w:ascii="Cambria" w:hAnsi="Cambria" w:cs="新細明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7B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7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7B43"/>
    <w:rPr>
      <w:sz w:val="20"/>
      <w:szCs w:val="20"/>
    </w:rPr>
  </w:style>
  <w:style w:type="paragraph" w:styleId="a7">
    <w:name w:val="List Paragraph"/>
    <w:basedOn w:val="a"/>
    <w:uiPriority w:val="34"/>
    <w:qFormat/>
    <w:rsid w:val="00E97B43"/>
    <w:pPr>
      <w:ind w:leftChars="200" w:left="480"/>
    </w:pPr>
  </w:style>
  <w:style w:type="character" w:customStyle="1" w:styleId="30">
    <w:name w:val="標題 3 字元"/>
    <w:basedOn w:val="a0"/>
    <w:link w:val="3"/>
    <w:uiPriority w:val="9"/>
    <w:semiHidden/>
    <w:rsid w:val="00875714"/>
    <w:rPr>
      <w:rFonts w:ascii="Cambria" w:eastAsia="新細明體" w:hAnsi="Cambria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14908[呂翊瑄]</dc:creator>
  <cp:keywords/>
  <dc:description/>
  <cp:lastModifiedBy>14908[呂翊瑄]</cp:lastModifiedBy>
  <cp:revision>7</cp:revision>
  <dcterms:created xsi:type="dcterms:W3CDTF">2017-04-24T01:50:00Z</dcterms:created>
  <dcterms:modified xsi:type="dcterms:W3CDTF">2018-03-01T01:58:00Z</dcterms:modified>
</cp:coreProperties>
</file>