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44"/>
        </w:rPr>
      </w:pPr>
      <w:r>
        <w:rPr>
          <w:rFonts w:ascii="標楷體" w:hAnsi="標楷體" w:eastAsia="標楷體"/>
          <w:sz w:val="36"/>
          <w:szCs w:val="36"/>
        </w:rPr>
        <w:t>恩主公醫院核子醫學科</w:t>
      </w:r>
    </w:p>
    <w:tbl>
      <w:tblPr>
        <w:tblW w:w="9678" w:type="dxa"/>
        <w:jc w:val="left"/>
        <w:tblInd w:w="-19" w:type="dxa"/>
        <w:tblLayout w:type="fixed"/>
        <w:tblCellMar>
          <w:top w:w="28" w:type="dxa"/>
          <w:left w:w="10" w:type="dxa"/>
          <w:bottom w:w="28" w:type="dxa"/>
          <w:right w:w="10" w:type="dxa"/>
        </w:tblCellMar>
      </w:tblPr>
      <w:tblGrid>
        <w:gridCol w:w="9678"/>
      </w:tblGrid>
      <w:tr>
        <w:trPr>
          <w:trHeight w:val="1020" w:hRule="atLeast"/>
        </w:trPr>
        <w:tc>
          <w:tcPr>
            <w:tcW w:w="9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標楷體" w:hAnsi="標楷體" w:eastAsia="標楷體"/>
                <w:sz w:val="32"/>
                <w:szCs w:val="32"/>
              </w:rPr>
              <w:t>核子醫學科</w:t>
            </w:r>
            <w:r>
              <w:rPr>
                <w:rFonts w:ascii="PMingLiU" w:hAnsi="PMingLiU" w:eastAsia="標楷體"/>
                <w:sz w:val="32"/>
                <w:szCs w:val="32"/>
              </w:rPr>
              <w:t>類澱粉蛋白正子造影檢查</w:t>
            </w:r>
          </w:p>
          <w:p>
            <w:pPr>
              <w:pStyle w:val="Normal"/>
              <w:spacing w:before="0" w:after="283"/>
              <w:jc w:val="center"/>
              <w:rPr/>
            </w:pPr>
            <w:r>
              <w:rPr>
                <w:rFonts w:eastAsia="標楷體" w:ascii="標楷體" w:hAnsi="標楷體"/>
                <w:sz w:val="32"/>
                <w:szCs w:val="32"/>
                <w:lang w:val="en-US"/>
              </w:rPr>
              <w:t>FBB</w:t>
            </w:r>
          </w:p>
        </w:tc>
      </w:tr>
    </w:tbl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經過臨床醫師的評估，認為您需要</w:t>
      </w:r>
      <w:r>
        <w:rPr>
          <w:rFonts w:ascii="DFKaiShu-SB-Estd-BF" w:hAnsi="DFKaiShu-SB-Estd-BF" w:eastAsia="標楷體"/>
          <w:sz w:val="24"/>
          <w:szCs w:val="24"/>
        </w:rPr>
        <w:t>評</w:t>
      </w:r>
      <w:r>
        <w:rPr>
          <w:rFonts w:ascii="標楷體" w:hAnsi="標楷體" w:eastAsia="標楷體"/>
          <w:sz w:val="24"/>
          <w:szCs w:val="24"/>
        </w:rPr>
        <w:t>估阿茲海默氏症或其他認知功能減退患者腦中之</w:t>
      </w:r>
      <w:r>
        <w:rPr>
          <w:rFonts w:eastAsia="標楷體" w:ascii="標楷體" w:hAnsi="標楷體"/>
          <w:sz w:val="24"/>
          <w:szCs w:val="24"/>
        </w:rPr>
        <w:t>β</w:t>
      </w:r>
      <w:r>
        <w:rPr>
          <w:rFonts w:ascii="標楷體" w:hAnsi="標楷體" w:eastAsia="標楷體"/>
          <w:sz w:val="24"/>
          <w:szCs w:val="24"/>
        </w:rPr>
        <w:t>型類澱粉</w:t>
      </w:r>
      <w:r>
        <w:rPr>
          <w:rFonts w:ascii="DFKaiShu-SB-Estd-BF" w:hAnsi="DFKaiShu-SB-Estd-BF" w:eastAsia="標楷體"/>
          <w:sz w:val="24"/>
          <w:szCs w:val="24"/>
        </w:rPr>
        <w:t>蛋</w:t>
      </w:r>
      <w:r>
        <w:rPr>
          <w:rFonts w:ascii="DFKaiShu-SB-Estd-BF" w:hAnsi="DFKaiShu-SB-Estd-BF" w:eastAsia="標楷體"/>
          <w:sz w:val="24"/>
        </w:rPr>
        <w:t>白斑塊沉積</w:t>
      </w:r>
      <w:r>
        <w:rPr>
          <w:rFonts w:ascii="標楷體" w:hAnsi="標楷體" w:eastAsia="標楷體"/>
          <w:sz w:val="24"/>
          <w:szCs w:val="24"/>
        </w:rPr>
        <w:t>，因此為您安排了核子醫學科</w:t>
      </w:r>
      <w:r>
        <w:rPr>
          <w:rFonts w:ascii="PMingLiU" w:hAnsi="PMingLiU" w:eastAsia="標楷體"/>
          <w:sz w:val="24"/>
          <w:szCs w:val="24"/>
        </w:rPr>
        <w:t>類澱粉蛋白正子造影檢查</w:t>
      </w:r>
      <w:r>
        <w:rPr>
          <w:rFonts w:ascii="標楷體" w:hAnsi="標楷體" w:eastAsia="標楷體"/>
          <w:sz w:val="24"/>
          <w:szCs w:val="24"/>
        </w:rPr>
        <w:t>，希望透過以下介紹，能讓您對核子醫學科</w:t>
      </w:r>
      <w:r>
        <w:rPr>
          <w:rFonts w:ascii="PMingLiU" w:hAnsi="PMingLiU" w:eastAsia="標楷體"/>
          <w:sz w:val="24"/>
          <w:szCs w:val="24"/>
        </w:rPr>
        <w:t>類澱粉蛋白正子造影檢查</w:t>
      </w:r>
      <w:r>
        <w:rPr>
          <w:rFonts w:ascii="標楷體" w:hAnsi="標楷體" w:eastAsia="標楷體"/>
          <w:sz w:val="24"/>
          <w:szCs w:val="24"/>
        </w:rPr>
        <w:t>有進一步的了解。</w:t>
      </w:r>
    </w:p>
    <w:p>
      <w:pPr>
        <w:pStyle w:val="Normal"/>
        <w:spacing w:before="0" w:after="0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核醫</w:t>
      </w:r>
      <w:r>
        <w:rPr>
          <w:rFonts w:ascii="PMingLiU" w:hAnsi="PMingLiU" w:eastAsia="標楷體"/>
          <w:sz w:val="24"/>
          <w:szCs w:val="24"/>
        </w:rPr>
        <w:t>類澱粉蛋白正子造影檢查</w:t>
      </w:r>
      <w:r>
        <w:rPr>
          <w:rFonts w:ascii="標楷體" w:hAnsi="標楷體" w:eastAsia="標楷體"/>
          <w:sz w:val="24"/>
          <w:szCs w:val="24"/>
        </w:rPr>
        <w:t>的目的：</w:t>
      </w:r>
    </w:p>
    <w:p>
      <w:pPr>
        <w:pStyle w:val="Normal"/>
        <w:rPr>
          <w:rFonts w:ascii="標楷體" w:hAnsi="標楷體" w:eastAsia="標楷體"/>
        </w:rPr>
      </w:pPr>
      <w:r>
        <w:rPr>
          <w:rFonts w:ascii="標楷體" w:hAnsi="標楷體" w:cs="Mangal" w:eastAsia="標楷體"/>
          <w:color w:val="00000A"/>
          <w:kern w:val="0"/>
          <w:sz w:val="24"/>
          <w:szCs w:val="24"/>
          <w:lang w:val="en-US" w:eastAsia="zh-TW" w:bidi="hi-IN"/>
        </w:rPr>
        <w:t>造成認知功能下降的可能原因很多，而阿茲海默氏症的早期病理特徵為腦中出現</w:t>
      </w:r>
      <w:r>
        <w:rPr>
          <w:rFonts w:eastAsia="標楷體" w:cs="Mangal" w:ascii="標楷體" w:hAnsi="標楷體"/>
          <w:color w:val="00000A"/>
          <w:kern w:val="0"/>
          <w:sz w:val="24"/>
          <w:szCs w:val="24"/>
          <w:lang w:val="en-US" w:eastAsia="zh-TW" w:bidi="hi-IN"/>
        </w:rPr>
        <w:t>β</w:t>
      </w:r>
      <w:r>
        <w:rPr>
          <w:rFonts w:ascii="標楷體" w:hAnsi="標楷體" w:cs="Mangal" w:eastAsia="標楷體"/>
          <w:color w:val="00000A"/>
          <w:kern w:val="0"/>
          <w:sz w:val="24"/>
          <w:szCs w:val="24"/>
          <w:lang w:val="en-US" w:eastAsia="zh-TW" w:bidi="hi-IN"/>
        </w:rPr>
        <w:t>型類澱粉蛋白斑塊，透過本檢查可以偵測腦中</w:t>
      </w:r>
      <w:r>
        <w:rPr>
          <w:rFonts w:eastAsia="標楷體" w:cs="Mangal" w:ascii="標楷體" w:hAnsi="標楷體"/>
          <w:color w:val="00000A"/>
          <w:kern w:val="0"/>
          <w:sz w:val="24"/>
          <w:szCs w:val="24"/>
          <w:lang w:val="en-US" w:eastAsia="zh-TW" w:bidi="hi-IN"/>
        </w:rPr>
        <w:t>β</w:t>
      </w:r>
      <w:r>
        <w:rPr>
          <w:rFonts w:ascii="標楷體" w:hAnsi="標楷體" w:cs="Mangal" w:eastAsia="標楷體"/>
          <w:color w:val="00000A"/>
          <w:kern w:val="0"/>
          <w:sz w:val="24"/>
          <w:szCs w:val="24"/>
          <w:lang w:val="en-US" w:eastAsia="zh-TW" w:bidi="hi-IN"/>
        </w:rPr>
        <w:t>型類澱粉蛋白斑塊的堆積情形，提供早期診斷的依據，協助阿茲海默氏症之鑑別診斷，有</w:t>
      </w:r>
      <w:r>
        <w:rPr>
          <w:rFonts w:ascii="標楷體" w:hAnsi="標楷體" w:eastAsia="標楷體"/>
          <w:sz w:val="24"/>
        </w:rPr>
        <w:t>助於釐清失智症的病因，進而安排個人化的治療與照護計畫。</w:t>
      </w:r>
    </w:p>
    <w:p>
      <w:pPr>
        <w:pStyle w:val="Normal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>
          <w:rFonts w:eastAsia="新細明體"/>
          <w:sz w:val="32"/>
          <w:szCs w:val="32"/>
        </w:rPr>
      </w:pPr>
      <w:r>
        <w:rPr>
          <w:rFonts w:ascii="標楷體" w:hAnsi="標楷體" w:eastAsia="標楷體"/>
          <w:sz w:val="24"/>
          <w:szCs w:val="24"/>
        </w:rPr>
        <w:t>注意事項：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sz w:val="24"/>
          <w:szCs w:val="24"/>
        </w:rPr>
        <w:t>若您有懷孕的可能，暫時不宜進行核醫</w:t>
      </w:r>
      <w:r>
        <w:rPr>
          <w:rFonts w:ascii="PMingLiU" w:hAnsi="PMingLiU" w:eastAsia="標楷體"/>
          <w:sz w:val="24"/>
          <w:szCs w:val="24"/>
        </w:rPr>
        <w:t>類澱粉蛋白正子造影檢查</w:t>
      </w:r>
      <w:r>
        <w:rPr>
          <w:rFonts w:ascii="標楷體" w:hAnsi="標楷體" w:eastAsia="標楷體"/>
          <w:sz w:val="24"/>
          <w:szCs w:val="24"/>
        </w:rPr>
        <w:t>，請先告知我們。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2.</w:t>
      </w:r>
      <w:r>
        <w:rPr>
          <w:rFonts w:ascii="標楷體" w:hAnsi="標楷體" w:eastAsia="標楷體"/>
          <w:b w:val="false"/>
          <w:bCs w:val="false"/>
          <w:sz w:val="24"/>
          <w:szCs w:val="24"/>
        </w:rPr>
        <w:t>檢查當日</w:t>
      </w:r>
      <w:r>
        <w:rPr>
          <w:rFonts w:ascii="DFKaiShu-SB-Estd-BF" w:hAnsi="DFKaiShu-SB-Estd-BF" w:eastAsia="標楷體"/>
          <w:sz w:val="24"/>
        </w:rPr>
        <w:t>不需禁食。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3.</w:t>
      </w:r>
      <w:r>
        <w:rPr>
          <w:rFonts w:ascii="標楷體" w:hAnsi="標楷體" w:eastAsia="標楷體"/>
          <w:sz w:val="24"/>
          <w:szCs w:val="24"/>
        </w:rPr>
        <w:t>在攝影過程盡量不動，特別是頭部，如此可以提高影像的品質。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4.</w:t>
      </w:r>
      <w:r>
        <w:rPr>
          <w:rFonts w:ascii="標楷體" w:hAnsi="標楷體" w:cs="Liberation Serif;Times New Roman" w:eastAsia="標楷體"/>
          <w:sz w:val="24"/>
          <w:szCs w:val="24"/>
        </w:rPr>
        <w:t>檢查完畢後，受檢者體內仍有少量殘留輻射，因其含量偏低，不需特別防護，若仍有猶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  </w:t>
      </w:r>
      <w:r>
        <w:rPr>
          <w:rFonts w:ascii="標楷體" w:hAnsi="標楷體" w:cs="Liberation Serif;Times New Roman" w:eastAsia="標楷體"/>
          <w:sz w:val="24"/>
          <w:szCs w:val="24"/>
        </w:rPr>
        <w:t>疑，可避免與孕婦、嬰幼兒親密接觸。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5.</w:t>
      </w:r>
      <w:r>
        <w:rPr>
          <w:rFonts w:ascii="標楷體" w:hAnsi="標楷體" w:cs="Liberation Serif;Times New Roman" w:eastAsia="標楷體"/>
          <w:sz w:val="24"/>
          <w:szCs w:val="24"/>
        </w:rPr>
        <w:t>其他則無特別之注意事項，且罕有過敏現象。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  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</w:p>
    <w:p>
      <w:pPr>
        <w:pStyle w:val="Normal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>報到地點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sz w:val="24"/>
          <w:szCs w:val="24"/>
        </w:rPr>
        <w:t>恩主公醫院復興大樓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 xml:space="preserve">地下四樓核醫科  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聯絡電話</w:t>
      </w:r>
      <w:r>
        <w:rPr>
          <w:rFonts w:eastAsia="標楷體" w:cs="標楷體" w:ascii="標楷體" w:hAnsi="標楷體"/>
          <w:sz w:val="24"/>
          <w:szCs w:val="24"/>
          <w:lang w:val="en-US"/>
        </w:rPr>
        <w:t>:26723456</w:t>
      </w:r>
      <w:r>
        <w:rPr>
          <w:rFonts w:ascii="標楷體" w:hAnsi="標楷體" w:cs="標楷體" w:eastAsia="標楷體"/>
          <w:sz w:val="24"/>
          <w:szCs w:val="24"/>
        </w:rPr>
        <w:t>轉</w:t>
      </w:r>
      <w:r>
        <w:rPr>
          <w:rFonts w:eastAsia="標楷體" w:cs="標楷體" w:ascii="標楷體" w:hAnsi="標楷體"/>
          <w:sz w:val="24"/>
          <w:szCs w:val="24"/>
          <w:lang w:val="en-US"/>
        </w:rPr>
        <w:t xml:space="preserve">6006                                                                  </w:t>
      </w:r>
    </w:p>
    <w:p>
      <w:pPr>
        <w:pStyle w:val="BodyText"/>
        <w:spacing w:lineRule="auto" w:line="240" w:before="0" w:after="140"/>
        <w:jc w:val="center"/>
        <w:rPr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服務時間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b w:val="false"/>
          <w:bCs w:val="false"/>
          <w:sz w:val="24"/>
          <w:szCs w:val="24"/>
          <w:lang w:val="en-US"/>
        </w:rPr>
        <w:t xml:space="preserve">週一至週五 </w:t>
      </w:r>
      <w:r>
        <w:rPr>
          <w:rFonts w:eastAsia="標楷體" w:cs="標楷體" w:ascii="標楷體" w:hAnsi="標楷體"/>
          <w:b w:val="false"/>
          <w:bCs w:val="false"/>
          <w:sz w:val="24"/>
          <w:szCs w:val="24"/>
          <w:lang w:val="en-US"/>
        </w:rPr>
        <w:t>08:00~17:00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 xml:space="preserve">                                                                    </w:t>
      </w:r>
      <w:r>
        <w:rPr>
          <w:rFonts w:ascii="標楷體" w:hAnsi="標楷體" w:eastAsia="標楷體"/>
          <w:sz w:val="28"/>
          <w:szCs w:val="28"/>
        </w:rPr>
        <w:t xml:space="preserve">   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                                                       </w: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/>
      </w:pPr>
      <w:r>
        <w:rPr>
          <w:rFonts w:ascii="標楷體" w:hAnsi="標楷體" w:eastAsia="標楷體"/>
          <w:sz w:val="23"/>
          <w:szCs w:val="23"/>
        </w:rPr>
        <w:t xml:space="preserve">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79" w:footer="1134" w:bottom="16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PMingLiU">
    <w:charset w:val="88"/>
    <w:family w:val="roman"/>
    <w:pitch w:val="variable"/>
  </w:font>
  <w:font w:name="DFKaiShu-SB-Estd-BF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BMFF0D007-01</w:t>
    </w:r>
    <w:r>
      <w:rPr>
        <w:sz w:val="24"/>
        <w:szCs w:val="24"/>
      </w:rPr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BMFF0D007-01</w:t>
    </w:r>
    <w:r>
      <w:rPr>
        <w:sz w:val="24"/>
        <w:szCs w:val="24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新細明體" w:cs="Mangal"/>
      <w:color w:val="00000A"/>
      <w:kern w:val="0"/>
      <w:sz w:val="24"/>
      <w:szCs w:val="24"/>
      <w:lang w:val="en-US" w:eastAsia="zh-TW" w:bidi="hi-IN"/>
    </w:rPr>
  </w:style>
  <w:style w:type="character" w:styleId="Style14">
    <w:name w:val="註腳字元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尾註字元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標題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Mangal"/>
    </w:rPr>
  </w:style>
  <w:style w:type="paragraph" w:styleId="user">
    <w:name w:val="標題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8">
    <w:name w:val="表格內容"/>
    <w:basedOn w:val="Normal"/>
    <w:qFormat/>
    <w:pPr>
      <w:suppressLineNumbers/>
    </w:pPr>
    <w:rPr/>
  </w:style>
  <w:style w:type="paragraph" w:styleId="Style19">
    <w:name w:val="表格標題"/>
    <w:basedOn w:val="Style18"/>
    <w:qFormat/>
    <w:pPr>
      <w:suppressLineNumbers/>
      <w:jc w:val="center"/>
    </w:pPr>
    <w:rPr>
      <w:b/>
      <w:bCs/>
    </w:rPr>
  </w:style>
  <w:style w:type="paragraph" w:styleId="user2">
    <w:name w:val="頁首與頁尾 (user)"/>
    <w:basedOn w:val="Normal"/>
    <w:qFormat/>
    <w:pPr/>
    <w:rPr/>
  </w:style>
  <w:style w:type="paragraph" w:styleId="Style20">
    <w:name w:val="頁首與頁尾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284</TotalTime>
  <Application>LibreOffice/24.8.6.2$Windows_X86_64 LibreOffice_project/6d98ba145e9a8a39fc57bcc76981d1fb1316c60c</Application>
  <AppVersion>15.0000</AppVersion>
  <Pages>1</Pages>
  <Words>512</Words>
  <Characters>562</Characters>
  <CharactersWithSpaces>1242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2017-05-15T17:02:08Z</dcterms:created>
  <dc:creator/>
  <dc:description/>
  <dc:language>zh-TW</dc:language>
  <cp:lastModifiedBy/>
  <cp:lastPrinted>2023-08-28T14:27:26Z</cp:lastPrinted>
  <dcterms:modified xsi:type="dcterms:W3CDTF">2025-10-09T15:54:04Z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